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20"/>
      </w:pPr>
      <w:r>
        <w:rPr>
          <w:b/>
          <w:color w:val="243FBB"/>
          <w:sz w:val="40"/>
        </w:rPr>
        <w:t>Compte rendu de réunion</w:t>
      </w:r>
    </w:p>
    <w:p>
      <w:r>
        <w:rPr>
          <w:i/>
          <w:color w:val="555555"/>
          <w:sz w:val="19"/>
        </w:rPr>
        <w:t>Cinq blocs à remplir pendant ou juste après la réunion. À diffuser aux participants dans les 48 heures.</w:t>
      </w:r>
    </w:p>
    <w:p>
      <w:pPr>
        <w:spacing w:before="240" w:after="120"/>
      </w:pPr>
      <w:r>
        <w:rPr>
          <w:b/>
          <w:color w:val="243FBB"/>
          <w:sz w:val="32"/>
        </w:rPr>
        <w:t>1. Informations générales</w:t>
      </w:r>
    </w:p>
    <w:p>
      <w:r>
        <w:rPr>
          <w:b/>
        </w:rPr>
        <w:t xml:space="preserve">Date : </w:t>
      </w:r>
      <w:r>
        <w:t>____________________________________________________________</w:t>
      </w:r>
    </w:p>
    <w:p>
      <w:r>
        <w:rPr>
          <w:b/>
        </w:rPr>
        <w:t xml:space="preserve">Présents : </w:t>
      </w:r>
      <w:r>
        <w:t>____________________________________________________________</w:t>
      </w:r>
    </w:p>
    <w:p>
      <w:r>
        <w:rPr>
          <w:b/>
        </w:rPr>
        <w:t xml:space="preserve">Absents : </w:t>
      </w:r>
      <w:r>
        <w:t>____________________________________________________________</w:t>
      </w:r>
    </w:p>
    <w:p>
      <w:r>
        <w:rPr>
          <w:b/>
        </w:rPr>
        <w:t xml:space="preserve">Animateur de la réunion : </w:t>
      </w:r>
      <w:r>
        <w:t>____________________________________________________________</w:t>
      </w:r>
    </w:p>
    <w:p>
      <w:r>
        <w:rPr>
          <w:b/>
        </w:rPr>
        <w:t xml:space="preserve">Rédacteur du compte rendu : </w:t>
      </w:r>
      <w:r>
        <w:t>____________________________________________________________</w:t>
      </w:r>
    </w:p>
    <w:p>
      <w:pPr>
        <w:spacing w:before="240" w:after="120"/>
      </w:pPr>
      <w:r>
        <w:rPr>
          <w:b/>
          <w:color w:val="243FBB"/>
          <w:sz w:val="32"/>
        </w:rPr>
        <w:t>2. Sujets abordés</w:t>
      </w:r>
    </w:p>
    <w:p>
      <w:r>
        <w:rPr>
          <w:i/>
          <w:color w:val="555555"/>
          <w:sz w:val="19"/>
        </w:rPr>
        <w:t>Les points de l’ordre du jour réellement discutés.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shd w:val="clear" w:color="auto" w:fill="243FBB"/>
          </w:tcPr>
          <w:p>
            <w:r/>
            <w:r>
              <w:rPr>
                <w:b/>
                <w:color w:val="FFFFFF"/>
              </w:rPr>
              <w:t>Sujet</w:t>
            </w:r>
          </w:p>
        </w:tc>
        <w:tc>
          <w:tcPr>
            <w:tcW w:type="dxa" w:w="6803"/>
            <w:shd w:val="clear" w:color="auto" w:fill="243FBB"/>
          </w:tcPr>
          <w:p>
            <w:r/>
            <w:r>
              <w:rPr>
                <w:b/>
                <w:color w:val="FFFFFF"/>
              </w:rPr>
              <w:t>Ce qui a été dit (en bref)</w:t>
            </w:r>
          </w:p>
        </w:tc>
      </w:tr>
      <w:tr>
        <w:trPr>
          <w:trHeight w:val="794"/>
        </w:trPr>
        <w:tc>
          <w:tcPr>
            <w:tcW w:type="dxa" w:w="2835"/>
            <w:shd w:val="clear" w:color="auto" w:fill="E9ECFA"/>
          </w:tcPr>
          <w:p>
            <w:r>
              <w:rPr>
                <w:b/>
              </w:rPr>
              <w:t>Sujet 1</w:t>
            </w:r>
          </w:p>
        </w:tc>
        <w:tc>
          <w:tcPr>
            <w:tcW w:type="dxa" w:w="6803"/>
          </w:tcPr>
          <w:p>
            <w:r/>
          </w:p>
        </w:tc>
      </w:tr>
      <w:tr>
        <w:trPr>
          <w:trHeight w:val="794"/>
        </w:trPr>
        <w:tc>
          <w:tcPr>
            <w:tcW w:type="dxa" w:w="2835"/>
            <w:shd w:val="clear" w:color="auto" w:fill="E9ECFA"/>
          </w:tcPr>
          <w:p>
            <w:r>
              <w:rPr>
                <w:b/>
              </w:rPr>
              <w:t>Sujet 2</w:t>
            </w:r>
          </w:p>
        </w:tc>
        <w:tc>
          <w:tcPr>
            <w:tcW w:type="dxa" w:w="6803"/>
          </w:tcPr>
          <w:p>
            <w:r/>
          </w:p>
        </w:tc>
      </w:tr>
      <w:tr>
        <w:trPr>
          <w:trHeight w:val="794"/>
        </w:trPr>
        <w:tc>
          <w:tcPr>
            <w:tcW w:type="dxa" w:w="2835"/>
            <w:shd w:val="clear" w:color="auto" w:fill="E9ECFA"/>
          </w:tcPr>
          <w:p>
            <w:r>
              <w:rPr>
                <w:b/>
              </w:rPr>
              <w:t>Sujet 3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spacing w:before="240" w:after="120"/>
      </w:pPr>
      <w:r>
        <w:rPr>
          <w:b/>
          <w:color w:val="243FBB"/>
          <w:sz w:val="32"/>
        </w:rPr>
        <w:t>3. Décisions prises</w:t>
      </w:r>
    </w:p>
    <w:p>
      <w:r>
        <w:rPr>
          <w:i/>
          <w:color w:val="555555"/>
          <w:sz w:val="19"/>
        </w:rPr>
        <w:t>Une phrase courte et sans ambiguïté par décision.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850"/>
            <w:shd w:val="clear" w:color="auto" w:fill="243FBB"/>
          </w:tcPr>
          <w:p>
            <w:r/>
            <w:r>
              <w:rPr>
                <w:b/>
                <w:color w:val="FFFFFF"/>
              </w:rPr>
              <w:t>N°</w:t>
            </w:r>
          </w:p>
        </w:tc>
        <w:tc>
          <w:tcPr>
            <w:tcW w:type="dxa" w:w="8787"/>
            <w:shd w:val="clear" w:color="auto" w:fill="243FBB"/>
          </w:tcPr>
          <w:p>
            <w:r/>
            <w:r>
              <w:rPr>
                <w:b/>
                <w:color w:val="FFFFFF"/>
              </w:rPr>
              <w:t>Décision</w:t>
            </w:r>
          </w:p>
        </w:tc>
      </w:tr>
      <w:tr>
        <w:trPr>
          <w:trHeight w:val="680"/>
        </w:trPr>
        <w:tc>
          <w:tcPr>
            <w:tcW w:type="dxa" w:w="850"/>
            <w:shd w:val="clear" w:color="auto" w:fill="E9ECFA"/>
          </w:tcPr>
          <w:p>
            <w:r>
              <w:rPr>
                <w:b/>
              </w:rPr>
              <w:t>1</w:t>
            </w:r>
          </w:p>
        </w:tc>
        <w:tc>
          <w:tcPr>
            <w:tcW w:type="dxa" w:w="8787"/>
          </w:tcPr>
          <w:p>
            <w:r/>
          </w:p>
        </w:tc>
      </w:tr>
      <w:tr>
        <w:trPr>
          <w:trHeight w:val="680"/>
        </w:trPr>
        <w:tc>
          <w:tcPr>
            <w:tcW w:type="dxa" w:w="850"/>
            <w:shd w:val="clear" w:color="auto" w:fill="E9ECFA"/>
          </w:tcPr>
          <w:p>
            <w:r>
              <w:rPr>
                <w:b/>
              </w:rPr>
              <w:t>2</w:t>
            </w:r>
          </w:p>
        </w:tc>
        <w:tc>
          <w:tcPr>
            <w:tcW w:type="dxa" w:w="8787"/>
          </w:tcPr>
          <w:p>
            <w:r/>
          </w:p>
        </w:tc>
      </w:tr>
      <w:tr>
        <w:trPr>
          <w:trHeight w:val="680"/>
        </w:trPr>
        <w:tc>
          <w:tcPr>
            <w:tcW w:type="dxa" w:w="850"/>
            <w:shd w:val="clear" w:color="auto" w:fill="E9ECFA"/>
          </w:tcPr>
          <w:p>
            <w:r>
              <w:rPr>
                <w:b/>
              </w:rPr>
              <w:t>3</w:t>
            </w:r>
          </w:p>
        </w:tc>
        <w:tc>
          <w:tcPr>
            <w:tcW w:type="dxa" w:w="8787"/>
          </w:tcPr>
          <w:p>
            <w:r/>
          </w:p>
        </w:tc>
      </w:tr>
    </w:tbl>
    <w:p/>
    <w:p>
      <w:pPr>
        <w:spacing w:before="240" w:after="120"/>
      </w:pPr>
      <w:r>
        <w:rPr>
          <w:b/>
          <w:color w:val="243FBB"/>
          <w:sz w:val="32"/>
        </w:rPr>
        <w:t>4. Actions à mener</w:t>
      </w:r>
    </w:p>
    <w:p>
      <w:r>
        <w:rPr>
          <w:i/>
          <w:color w:val="555555"/>
          <w:sz w:val="19"/>
        </w:rPr>
        <w:t>Chaque action a un responsable nommé et une échéance précise.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5669"/>
            <w:shd w:val="clear" w:color="auto" w:fill="243FBB"/>
          </w:tcPr>
          <w:p>
            <w:r/>
            <w:r>
              <w:rPr>
                <w:b/>
                <w:color w:val="FFFFFF"/>
              </w:rPr>
              <w:t>Action</w:t>
            </w:r>
          </w:p>
        </w:tc>
        <w:tc>
          <w:tcPr>
            <w:tcW w:type="dxa" w:w="2268"/>
            <w:shd w:val="clear" w:color="auto" w:fill="243FBB"/>
          </w:tcPr>
          <w:p>
            <w:r/>
            <w:r>
              <w:rPr>
                <w:b/>
                <w:color w:val="FFFFFF"/>
              </w:rPr>
              <w:t>Responsable</w:t>
            </w:r>
          </w:p>
        </w:tc>
        <w:tc>
          <w:tcPr>
            <w:tcW w:type="dxa" w:w="1701"/>
            <w:shd w:val="clear" w:color="auto" w:fill="243FBB"/>
          </w:tcPr>
          <w:p>
            <w:r/>
            <w:r>
              <w:rPr>
                <w:b/>
                <w:color w:val="FFFFFF"/>
              </w:rPr>
              <w:t>Échéance</w:t>
            </w:r>
          </w:p>
        </w:tc>
      </w:tr>
      <w:tr>
        <w:trPr>
          <w:trHeight w:val="624"/>
        </w:trPr>
        <w:tc>
          <w:tcPr>
            <w:tcW w:type="dxa" w:w="5669"/>
            <w:shd w:val="clear" w:color="auto" w:fill="E9ECFA"/>
          </w:tcPr>
          <w:p>
            <w:r>
              <w:rPr>
                <w:b/>
              </w:rPr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rPr>
          <w:trHeight w:val="624"/>
        </w:trPr>
        <w:tc>
          <w:tcPr>
            <w:tcW w:type="dxa" w:w="5669"/>
            <w:shd w:val="clear" w:color="auto" w:fill="E9ECFA"/>
          </w:tcPr>
          <w:p>
            <w:r>
              <w:rPr>
                <w:b/>
              </w:rPr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rPr>
          <w:trHeight w:val="624"/>
        </w:trPr>
        <w:tc>
          <w:tcPr>
            <w:tcW w:type="dxa" w:w="5669"/>
            <w:shd w:val="clear" w:color="auto" w:fill="E9ECFA"/>
          </w:tcPr>
          <w:p>
            <w:r>
              <w:rPr>
                <w:b/>
              </w:rPr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rPr>
          <w:trHeight w:val="624"/>
        </w:trPr>
        <w:tc>
          <w:tcPr>
            <w:tcW w:type="dxa" w:w="5669"/>
            <w:shd w:val="clear" w:color="auto" w:fill="E9ECFA"/>
          </w:tcPr>
          <w:p>
            <w:r>
              <w:rPr>
                <w:b/>
              </w:rPr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</w:tr>
    </w:tbl>
    <w:p/>
    <w:p>
      <w:pPr>
        <w:spacing w:before="240" w:after="120"/>
      </w:pPr>
      <w:r>
        <w:rPr>
          <w:b/>
          <w:color w:val="243FBB"/>
          <w:sz w:val="32"/>
        </w:rPr>
        <w:t>5. Points en suspens</w:t>
      </w:r>
    </w:p>
    <w:p>
      <w:r>
        <w:rPr>
          <w:i/>
          <w:color w:val="555555"/>
          <w:sz w:val="19"/>
        </w:rPr>
        <w:t>Ce qui n’a pas été tranché et reviendra à la prochaine réunion.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6803"/>
            <w:shd w:val="clear" w:color="auto" w:fill="243FBB"/>
          </w:tcPr>
          <w:p>
            <w:r/>
            <w:r>
              <w:rPr>
                <w:b/>
                <w:color w:val="FFFFFF"/>
              </w:rPr>
              <w:t>Point</w:t>
            </w:r>
          </w:p>
        </w:tc>
        <w:tc>
          <w:tcPr>
            <w:tcW w:type="dxa" w:w="2835"/>
            <w:shd w:val="clear" w:color="auto" w:fill="243FBB"/>
          </w:tcPr>
          <w:p>
            <w:r/>
            <w:r>
              <w:rPr>
                <w:b/>
                <w:color w:val="FFFFFF"/>
              </w:rPr>
              <w:t>À revoir quand</w:t>
            </w:r>
          </w:p>
        </w:tc>
      </w:tr>
      <w:tr>
        <w:trPr>
          <w:trHeight w:val="624"/>
        </w:trPr>
        <w:tc>
          <w:tcPr>
            <w:tcW w:type="dxa" w:w="6803"/>
            <w:shd w:val="clear" w:color="auto" w:fill="E9ECFA"/>
          </w:tcPr>
          <w:p>
            <w:r>
              <w:rPr>
                <w:b/>
              </w:rPr>
            </w:r>
          </w:p>
        </w:tc>
        <w:tc>
          <w:tcPr>
            <w:tcW w:type="dxa" w:w="2835"/>
          </w:tcPr>
          <w:p>
            <w:r/>
          </w:p>
        </w:tc>
      </w:tr>
      <w:tr>
        <w:trPr>
          <w:trHeight w:val="624"/>
        </w:trPr>
        <w:tc>
          <w:tcPr>
            <w:tcW w:type="dxa" w:w="6803"/>
            <w:shd w:val="clear" w:color="auto" w:fill="E9ECFA"/>
          </w:tcPr>
          <w:p>
            <w:r>
              <w:rPr>
                <w:b/>
              </w:rPr>
            </w:r>
          </w:p>
        </w:tc>
        <w:tc>
          <w:tcPr>
            <w:tcW w:type="dxa" w:w="2835"/>
          </w:tcPr>
          <w:p>
            <w:r/>
          </w:p>
        </w:tc>
      </w:tr>
      <w:tr>
        <w:trPr>
          <w:trHeight w:val="624"/>
        </w:trPr>
        <w:tc>
          <w:tcPr>
            <w:tcW w:type="dxa" w:w="6803"/>
            <w:shd w:val="clear" w:color="auto" w:fill="E9ECFA"/>
          </w:tcPr>
          <w:p>
            <w:r>
              <w:rPr>
                <w:b/>
              </w:rPr>
            </w:r>
          </w:p>
        </w:tc>
        <w:tc>
          <w:tcPr>
            <w:tcW w:type="dxa" w:w="2835"/>
          </w:tcPr>
          <w:p>
            <w:r/>
          </w:p>
        </w:tc>
      </w:tr>
    </w:tbl>
    <w:p/>
    <w:p>
      <w:r>
        <w:br w:type="page"/>
      </w:r>
    </w:p>
    <w:p>
      <w:pPr>
        <w:spacing w:before="240" w:after="120"/>
      </w:pPr>
      <w:r>
        <w:rPr>
          <w:b/>
          <w:color w:val="243FBB"/>
          <w:sz w:val="32"/>
        </w:rPr>
        <w:t>Exemple rempli : réunion hebdomadaire d’une petite équipe</w:t>
      </w:r>
    </w:p>
    <w:p>
      <w:r>
        <w:rPr>
          <w:i/>
          <w:color w:val="555555"/>
          <w:sz w:val="19"/>
        </w:rPr>
        <w:t>Exemple fictif, avec des données génériques.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shd w:val="clear" w:color="auto" w:fill="243FBB"/>
          </w:tcPr>
          <w:p>
            <w:r/>
            <w:r>
              <w:rPr>
                <w:b/>
                <w:color w:val="FFFFFF"/>
              </w:rPr>
              <w:t>Rubrique</w:t>
            </w:r>
          </w:p>
        </w:tc>
        <w:tc>
          <w:tcPr>
            <w:tcW w:type="dxa" w:w="6803"/>
            <w:shd w:val="clear" w:color="auto" w:fill="243FBB"/>
          </w:tcPr>
          <w:p>
            <w:r/>
            <w:r>
              <w:rPr>
                <w:b/>
                <w:color w:val="FFFFFF"/>
              </w:rPr>
              <w:t>Contenu de l’exemple</w:t>
            </w:r>
          </w:p>
        </w:tc>
      </w:tr>
      <w:tr>
        <w:tc>
          <w:tcPr>
            <w:tcW w:type="dxa" w:w="2835"/>
            <w:shd w:val="clear" w:color="auto" w:fill="E9ECFA"/>
          </w:tcPr>
          <w:p>
            <w:r>
              <w:rPr>
                <w:b/>
              </w:rPr>
              <w:t>Informations générales</w:t>
            </w:r>
          </w:p>
        </w:tc>
        <w:tc>
          <w:tcPr>
            <w:tcW w:type="dxa" w:w="6803"/>
          </w:tcPr>
          <w:p>
            <w:r>
              <w:t>Réunion hebdomadaire d’une petite agence, 5 personnes, 3 présentes, animée à tour de rôle.</w:t>
            </w:r>
          </w:p>
        </w:tc>
      </w:tr>
      <w:tr>
        <w:tc>
          <w:tcPr>
            <w:tcW w:type="dxa" w:w="2835"/>
            <w:shd w:val="clear" w:color="auto" w:fill="E9ECFA"/>
          </w:tcPr>
          <w:p>
            <w:r>
              <w:rPr>
                <w:b/>
              </w:rPr>
              <w:t>Sujets abordés</w:t>
            </w:r>
          </w:p>
        </w:tc>
        <w:tc>
          <w:tcPr>
            <w:tcW w:type="dxa" w:w="6803"/>
          </w:tcPr>
          <w:p>
            <w:r>
              <w:t>Charge de travail de la semaine et suivi d’un dossier en cours.</w:t>
            </w:r>
          </w:p>
        </w:tc>
      </w:tr>
      <w:tr>
        <w:tc>
          <w:tcPr>
            <w:tcW w:type="dxa" w:w="2835"/>
            <w:shd w:val="clear" w:color="auto" w:fill="E9ECFA"/>
          </w:tcPr>
          <w:p>
            <w:r>
              <w:rPr>
                <w:b/>
              </w:rPr>
              <w:t>Décisions prises</w:t>
            </w:r>
          </w:p>
        </w:tc>
        <w:tc>
          <w:tcPr>
            <w:tcW w:type="dxa" w:w="6803"/>
          </w:tcPr>
          <w:p>
            <w:r>
              <w:t>La répartition des dossiers change à partir de la semaine prochaine.</w:t>
            </w:r>
          </w:p>
        </w:tc>
      </w:tr>
      <w:tr>
        <w:tc>
          <w:tcPr>
            <w:tcW w:type="dxa" w:w="2835"/>
            <w:shd w:val="clear" w:color="auto" w:fill="E9ECFA"/>
          </w:tcPr>
          <w:p>
            <w:r>
              <w:rPr>
                <w:b/>
              </w:rPr>
              <w:t>Actions à mener</w:t>
            </w:r>
          </w:p>
        </w:tc>
        <w:tc>
          <w:tcPr>
            <w:tcW w:type="dxa" w:w="6803"/>
          </w:tcPr>
          <w:p>
            <w:r>
              <w:t>Mettre à jour le tableau de suivi — responsable désigné — avant vendredi.</w:t>
            </w:r>
          </w:p>
        </w:tc>
      </w:tr>
      <w:tr>
        <w:tc>
          <w:tcPr>
            <w:tcW w:type="dxa" w:w="2835"/>
            <w:shd w:val="clear" w:color="auto" w:fill="E9ECFA"/>
          </w:tcPr>
          <w:p>
            <w:r>
              <w:rPr>
                <w:b/>
              </w:rPr>
              <w:t>Points en suspens</w:t>
            </w:r>
          </w:p>
        </w:tc>
        <w:tc>
          <w:tcPr>
            <w:tcW w:type="dxa" w:w="6803"/>
          </w:tcPr>
          <w:p>
            <w:r>
              <w:t>Le choix d’un nouvel outil de suivi reste à trancher, à revoir dans deux semaines.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243FBB"/>
        <w:sz w:val="18"/>
      </w:rPr>
      <w:t>dodoia.re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243FBB"/>
        <w:sz w:val="18"/>
      </w:rPr>
      <w:t>Modèle de compte rendu de réunion — DodoIA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